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9A" w:rsidRDefault="00442F32" w:rsidP="000573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8D4301" w:rsidRDefault="008D4301" w:rsidP="008D4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01">
        <w:rPr>
          <w:rFonts w:ascii="Times New Roman" w:eastAsia="Times New Roman" w:hAnsi="Times New Roman" w:cs="Times New Roman"/>
          <w:sz w:val="28"/>
          <w:szCs w:val="28"/>
        </w:rPr>
        <w:t xml:space="preserve">За 2018 года </w:t>
      </w:r>
      <w:r w:rsidR="00442F32">
        <w:rPr>
          <w:rFonts w:ascii="Times New Roman" w:eastAsia="Times New Roman" w:hAnsi="Times New Roman" w:cs="Times New Roman"/>
          <w:sz w:val="28"/>
          <w:szCs w:val="28"/>
        </w:rPr>
        <w:t xml:space="preserve">и начало 2019 года </w:t>
      </w:r>
      <w:r w:rsidRPr="008D4301">
        <w:rPr>
          <w:rFonts w:ascii="Times New Roman" w:eastAsia="Times New Roman" w:hAnsi="Times New Roman" w:cs="Times New Roman"/>
          <w:sz w:val="28"/>
          <w:szCs w:val="28"/>
        </w:rPr>
        <w:t xml:space="preserve">на горячую линию АНО «Агентство по развитию человеческого капитала на Дальнем Востоке» обратилось порядком </w:t>
      </w:r>
      <w:r w:rsidR="00442F32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8D4301">
        <w:rPr>
          <w:rFonts w:ascii="Times New Roman" w:eastAsia="Times New Roman" w:hAnsi="Times New Roman" w:cs="Times New Roman"/>
          <w:sz w:val="28"/>
          <w:szCs w:val="28"/>
        </w:rPr>
        <w:t xml:space="preserve"> граждан, </w:t>
      </w:r>
      <w:r w:rsidR="00D723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4301">
        <w:rPr>
          <w:rFonts w:ascii="Times New Roman" w:eastAsia="Times New Roman" w:hAnsi="Times New Roman" w:cs="Times New Roman"/>
          <w:sz w:val="28"/>
          <w:szCs w:val="28"/>
        </w:rPr>
        <w:t xml:space="preserve"> различными вопросами по реализации программы «Дальневосточный гектар», в том числе с жалобами на работу уполномоченных органов, и их недостатках.</w:t>
      </w:r>
    </w:p>
    <w:p w:rsidR="00A63B63" w:rsidRPr="008D4301" w:rsidRDefault="008D4301" w:rsidP="008D4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01">
        <w:rPr>
          <w:rFonts w:ascii="Times New Roman" w:eastAsia="Times New Roman" w:hAnsi="Times New Roman" w:cs="Times New Roman"/>
          <w:sz w:val="28"/>
          <w:szCs w:val="28"/>
        </w:rPr>
        <w:t>Сегодня мы рассмотрим типовые ошибки уполномоченных органов при рассмотрении заявлений о предоставлении земельных участков в бессрочное пользование, поступивших в рамках реализации программы «Дальневосточный гектар».</w:t>
      </w:r>
    </w:p>
    <w:p w:rsidR="008D4301" w:rsidRPr="008D4301" w:rsidRDefault="008D4301" w:rsidP="008D43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01">
        <w:rPr>
          <w:rFonts w:ascii="Times New Roman" w:eastAsia="Times New Roman" w:hAnsi="Times New Roman" w:cs="Times New Roman"/>
          <w:sz w:val="28"/>
          <w:szCs w:val="28"/>
        </w:rPr>
        <w:t>Гражданин заключил договор безвозмездного пользования по программе «Дальневосточный гектар» с уполномоченным органом. Земельный участок относиться к категории земель – сельскохозяйственного назначения и расположен в границах территории, применительно к которой не утвержден градостроительный регламент.</w:t>
      </w:r>
    </w:p>
    <w:p w:rsidR="008D4301" w:rsidRPr="008D4301" w:rsidRDefault="008D4301" w:rsidP="008D43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01">
        <w:rPr>
          <w:rFonts w:ascii="Times New Roman" w:eastAsia="Times New Roman" w:hAnsi="Times New Roman" w:cs="Times New Roman"/>
          <w:sz w:val="28"/>
          <w:szCs w:val="28"/>
        </w:rPr>
        <w:t>В соответствии с п.7 ст.8 Федерального закона №119-ФЗ года, гражданин направил в уполномоченный орган уведомление о выбранных им виде разрешенного использования такого земельного участка на индивидуальное жилищное строительство.</w:t>
      </w:r>
    </w:p>
    <w:p w:rsidR="008D4301" w:rsidRPr="008D4301" w:rsidRDefault="008D4301" w:rsidP="008D43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0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уведомления о выбранном виде разрешенного использования земельного участка, уполномоченный орган принял решение о невозможности использования земельного участка в соответствии с выбранным гражданином видом разрешенного использования земельного участка для индивидуального жилищного строительства, так как данный земельный участок расположен на сельскохозяйственных угодьях в составе земель сельскохозяйственного назначения, а также по основаниям предусмотренным пунктом 4 статьи 78 Земельного кодекса Российской Федерации.</w:t>
      </w:r>
    </w:p>
    <w:p w:rsidR="008D4301" w:rsidRPr="008D4301" w:rsidRDefault="008D4301" w:rsidP="008D43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301">
        <w:rPr>
          <w:rFonts w:ascii="Times New Roman" w:eastAsia="Times New Roman" w:hAnsi="Times New Roman" w:cs="Times New Roman"/>
          <w:sz w:val="28"/>
          <w:szCs w:val="28"/>
        </w:rPr>
        <w:t xml:space="preserve">Действия уполномоченного органа, по отказу в возможности использования земельного участка в соответствии с указанными </w:t>
      </w:r>
      <w:r w:rsidRPr="008D4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гражданином видом разрешенного использования земельного участка является неправомерным. В соответствии с частью 5 статьи 8 Федерального закона №119-ФЗ, если земельный участок, предоставленный гражданину в безвозмездное пользование, расположен в границах территории, применительно к которой не утвержден градостроительный регламент, гражданин вправе использовать такой земельный участок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деятельностью, осуществляемой на смежных земельных участках, за исключением случая, предусмотренного частью 6 статьи 8 Закона. </w:t>
      </w:r>
    </w:p>
    <w:p w:rsidR="000C4950" w:rsidRDefault="000C4950" w:rsidP="000C49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2D5" w:rsidRPr="003A52D5" w:rsidRDefault="003A52D5" w:rsidP="003A52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D5">
        <w:rPr>
          <w:rFonts w:ascii="Times New Roman" w:eastAsia="Times New Roman" w:hAnsi="Times New Roman" w:cs="Times New Roman"/>
          <w:sz w:val="28"/>
          <w:szCs w:val="28"/>
        </w:rPr>
        <w:t xml:space="preserve">Гражданином подано заявление о предоставлении земельного участка в безвозмездное пользование. Образование испрашиваемого земельного участка в соответствии со схемой его размещения нарушает предусмотренные статьей 11.9 Земельного кодекса Российской Федерации требования к образуемым земельным участкам. На основании </w:t>
      </w:r>
      <w:r w:rsidR="007768A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369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52D5">
        <w:rPr>
          <w:rFonts w:ascii="Times New Roman" w:eastAsia="Times New Roman" w:hAnsi="Times New Roman" w:cs="Times New Roman"/>
          <w:sz w:val="28"/>
          <w:szCs w:val="28"/>
        </w:rPr>
        <w:t xml:space="preserve"> 4.1 статьи 6 Федерального закона № 119-ФЗ, посредством федеральной информационной системы «</w:t>
      </w:r>
      <w:r w:rsidR="00225521" w:rsidRPr="003A52D5">
        <w:rPr>
          <w:rFonts w:ascii="Times New Roman" w:eastAsia="Times New Roman" w:hAnsi="Times New Roman" w:cs="Times New Roman"/>
          <w:sz w:val="28"/>
          <w:szCs w:val="28"/>
        </w:rPr>
        <w:t>НаДальнийВосток.рф</w:t>
      </w:r>
      <w:r w:rsidRPr="003A52D5">
        <w:rPr>
          <w:rFonts w:ascii="Times New Roman" w:eastAsia="Times New Roman" w:hAnsi="Times New Roman" w:cs="Times New Roman"/>
          <w:sz w:val="28"/>
          <w:szCs w:val="28"/>
        </w:rPr>
        <w:t xml:space="preserve">» в данном случае </w:t>
      </w:r>
      <w:r w:rsidR="00442F32">
        <w:rPr>
          <w:rFonts w:ascii="Times New Roman" w:eastAsia="Times New Roman" w:hAnsi="Times New Roman" w:cs="Times New Roman"/>
          <w:sz w:val="28"/>
          <w:szCs w:val="28"/>
        </w:rPr>
        <w:t xml:space="preserve">УО должен был приостановить рассмотрение заявления и в срок не превышающий 5 дней </w:t>
      </w:r>
      <w:r w:rsidR="002A59E3" w:rsidRPr="003A52D5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2A59E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2A59E3" w:rsidRPr="003A52D5">
        <w:rPr>
          <w:rFonts w:ascii="Times New Roman" w:eastAsia="Times New Roman" w:hAnsi="Times New Roman" w:cs="Times New Roman"/>
          <w:sz w:val="28"/>
          <w:szCs w:val="28"/>
        </w:rPr>
        <w:t xml:space="preserve"> иные варианты схем размещения земельного участка, исключающие обстоятельства, повлекшие приостановление рассмотрения заявления, а так 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</w:t>
      </w:r>
      <w:r w:rsidR="00D7235E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3A52D5">
        <w:rPr>
          <w:rFonts w:ascii="Times New Roman" w:eastAsia="Times New Roman" w:hAnsi="Times New Roman" w:cs="Times New Roman"/>
          <w:sz w:val="28"/>
          <w:szCs w:val="28"/>
        </w:rPr>
        <w:t>рок</w:t>
      </w:r>
      <w:r w:rsidR="00D7235E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гражданином - 30 дней</w:t>
      </w:r>
      <w:r w:rsidRPr="003A52D5">
        <w:rPr>
          <w:rFonts w:ascii="Times New Roman" w:eastAsia="Times New Roman" w:hAnsi="Times New Roman" w:cs="Times New Roman"/>
          <w:sz w:val="28"/>
          <w:szCs w:val="28"/>
        </w:rPr>
        <w:t xml:space="preserve">. Но все эти варианты были направлены </w:t>
      </w:r>
      <w:r w:rsidR="00D7235E">
        <w:rPr>
          <w:rFonts w:ascii="Times New Roman" w:eastAsia="Times New Roman" w:hAnsi="Times New Roman" w:cs="Times New Roman"/>
          <w:sz w:val="28"/>
          <w:szCs w:val="28"/>
        </w:rPr>
        <w:t>без приостановки рассмотрения заявления и в</w:t>
      </w:r>
      <w:r w:rsidRPr="003A52D5">
        <w:rPr>
          <w:rFonts w:ascii="Times New Roman" w:eastAsia="Times New Roman" w:hAnsi="Times New Roman" w:cs="Times New Roman"/>
          <w:sz w:val="28"/>
          <w:szCs w:val="28"/>
        </w:rPr>
        <w:t xml:space="preserve"> тот же день отказано в </w:t>
      </w:r>
      <w:r w:rsidR="003F71E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A52D5">
        <w:rPr>
          <w:rFonts w:ascii="Times New Roman" w:eastAsia="Times New Roman" w:hAnsi="Times New Roman" w:cs="Times New Roman"/>
          <w:sz w:val="28"/>
          <w:szCs w:val="28"/>
        </w:rPr>
        <w:t xml:space="preserve"> участка.</w:t>
      </w:r>
    </w:p>
    <w:p w:rsidR="002C2955" w:rsidRPr="002C2955" w:rsidRDefault="002C2955" w:rsidP="002C2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Также, можно сказать самой главной ошибкой уполномоченного органа является то, что отделы по земельным отношениям, которые занимаются непосредственно предоставлением земельных участков в рамках реализации программы «Дальневосточный гектар» в безвозмездное пользование напрямую не сотрудничают с отделами архитектуры, и не знают правила землепользования и застройки и градостроительную документацию. </w:t>
      </w:r>
    </w:p>
    <w:p w:rsidR="008D4301" w:rsidRPr="002C2955" w:rsidRDefault="002C2955" w:rsidP="002C29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55">
        <w:rPr>
          <w:rFonts w:ascii="Times New Roman" w:eastAsia="Times New Roman" w:hAnsi="Times New Roman" w:cs="Times New Roman"/>
          <w:sz w:val="28"/>
          <w:szCs w:val="28"/>
        </w:rPr>
        <w:t>В этих случаях земельные участки согласовываются и предоставляются в двух и более территориальных зонах, на которые утверждены градостроительные регламенты, что впоследствии ведет к несогласованию гражданину выбранного им вида разрешенного использования.</w:t>
      </w:r>
    </w:p>
    <w:p w:rsidR="008D4301" w:rsidRDefault="008D4301" w:rsidP="00D118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D45" w:rsidRDefault="00F00369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4A5CB8" w:rsidRPr="004A5CB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органах имеется практика утверждать новые правила землепользования и застройки и градостроительную документацию или вносить в них изменения, без учета выбранных видов разрешенного использования предоставленных в безвозмездное пользование земельных участков.</w:t>
      </w:r>
    </w:p>
    <w:p w:rsidR="004A5CB8" w:rsidRDefault="004A5CB8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B8" w:rsidRPr="004A5CB8" w:rsidRDefault="004A5CB8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4.1. статьи 6 в случае, если при рассмотрении заявления гражданина о предоставлении земельного участка уполномоченным органом выявлены основания, указанные в пунктах 1 - 24 статьи 7 настоящего Федерального закона, либо пересечение границ земельного участка, образуемого в соответствии со схемой размещения земельного участка на публичной кадастровой карте, с границами земельных участков общего пользования, территорий общего пользования, территориальной зоны, населенного пункта, муниципального образования, либо ограничение доступа к иным земельным участкам в случае образования земельного участка в соответствии с данной схемой, уполномоченный орган принимает решение о приостановлении рассмотрения заявления о предоставлении земельного участка, к которому приложена данная схема. </w:t>
      </w:r>
    </w:p>
    <w:p w:rsidR="004A5CB8" w:rsidRDefault="004A5CB8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B8">
        <w:rPr>
          <w:rFonts w:ascii="Times New Roman" w:eastAsia="Times New Roman" w:hAnsi="Times New Roman" w:cs="Times New Roman"/>
          <w:sz w:val="28"/>
          <w:szCs w:val="28"/>
        </w:rPr>
        <w:lastRenderedPageBreak/>
        <w:t>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(в том числе с возможным уменьшением площади земельного участка), исключающие обстоятельства, повлекшие приостановление рассмотрения заявления, а также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законом.</w:t>
      </w:r>
      <w:r w:rsidR="00DA11AE">
        <w:rPr>
          <w:rFonts w:ascii="Times New Roman" w:eastAsia="Times New Roman" w:hAnsi="Times New Roman" w:cs="Times New Roman"/>
          <w:sz w:val="28"/>
          <w:szCs w:val="28"/>
        </w:rPr>
        <w:t xml:space="preserve"> Вместе с тем практика показывает, что УО не ограничивают срок приостановления.</w:t>
      </w:r>
    </w:p>
    <w:p w:rsidR="00FF239F" w:rsidRDefault="00FF239F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DEE" w:rsidRDefault="00633918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5EE1">
        <w:rPr>
          <w:rFonts w:ascii="Times New Roman" w:eastAsia="Times New Roman" w:hAnsi="Times New Roman" w:cs="Times New Roman"/>
          <w:sz w:val="28"/>
          <w:szCs w:val="28"/>
        </w:rPr>
        <w:t>рактически во всех уполномоченных органах</w:t>
      </w:r>
      <w:r w:rsidR="001949CA">
        <w:rPr>
          <w:rFonts w:ascii="Times New Roman" w:eastAsia="Times New Roman" w:hAnsi="Times New Roman" w:cs="Times New Roman"/>
          <w:sz w:val="28"/>
          <w:szCs w:val="28"/>
        </w:rPr>
        <w:t xml:space="preserve"> существует одна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распространенная</w:t>
      </w:r>
      <w:r w:rsidR="001949CA">
        <w:rPr>
          <w:rFonts w:ascii="Times New Roman" w:eastAsia="Times New Roman" w:hAnsi="Times New Roman" w:cs="Times New Roman"/>
          <w:sz w:val="28"/>
          <w:szCs w:val="28"/>
        </w:rPr>
        <w:t xml:space="preserve"> ошибка. Не правильные причины отказа. УО указывают основания </w:t>
      </w:r>
      <w:r w:rsidR="00414DEE">
        <w:rPr>
          <w:rFonts w:ascii="Times New Roman" w:eastAsia="Times New Roman" w:hAnsi="Times New Roman" w:cs="Times New Roman"/>
          <w:sz w:val="28"/>
          <w:szCs w:val="28"/>
        </w:rPr>
        <w:t>для отказа,</w:t>
      </w:r>
      <w:r w:rsidR="001949C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нормативными правовыми актами, регламентами, которые установлены на уровне УО. </w:t>
      </w:r>
      <w:r w:rsidR="00DD4946">
        <w:rPr>
          <w:rFonts w:ascii="Times New Roman" w:eastAsia="Times New Roman" w:hAnsi="Times New Roman" w:cs="Times New Roman"/>
          <w:sz w:val="28"/>
          <w:szCs w:val="28"/>
        </w:rPr>
        <w:t>На основании пункта 3 части 5 стать</w:t>
      </w:r>
      <w:r w:rsidR="00F023A8">
        <w:rPr>
          <w:rFonts w:ascii="Times New Roman" w:eastAsia="Times New Roman" w:hAnsi="Times New Roman" w:cs="Times New Roman"/>
          <w:sz w:val="28"/>
          <w:szCs w:val="28"/>
        </w:rPr>
        <w:t xml:space="preserve">и 5 Федерального закона № 110-ФЗ УО </w:t>
      </w:r>
      <w:r w:rsidR="00F023A8" w:rsidRPr="00F023A8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</w:t>
      </w:r>
      <w:hyperlink r:id="rId7" w:anchor="dst100097" w:history="1">
        <w:r w:rsidR="00F023A8" w:rsidRPr="00F023A8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="00F023A8" w:rsidRPr="00F023A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закона, и направляет принятое решение заявителю. В данном решении должны быть указаны все основания для отказа</w:t>
      </w:r>
      <w:r w:rsidR="00F02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D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23A8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414DEE">
        <w:rPr>
          <w:rFonts w:ascii="Times New Roman" w:eastAsia="Times New Roman" w:hAnsi="Times New Roman" w:cs="Times New Roman"/>
          <w:sz w:val="28"/>
          <w:szCs w:val="28"/>
        </w:rPr>
        <w:t xml:space="preserve">как в дополнение указывать что-то другое. Но ни как ни прочерк и просто словосочетание </w:t>
      </w:r>
      <w:r w:rsidR="00225521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D4946">
        <w:rPr>
          <w:rFonts w:ascii="Times New Roman" w:eastAsia="Times New Roman" w:hAnsi="Times New Roman" w:cs="Times New Roman"/>
          <w:sz w:val="28"/>
          <w:szCs w:val="28"/>
        </w:rPr>
        <w:t xml:space="preserve">«Вам отказано» и </w:t>
      </w:r>
      <w:r w:rsidR="00225521">
        <w:rPr>
          <w:rFonts w:ascii="Times New Roman" w:eastAsia="Times New Roman" w:hAnsi="Times New Roman" w:cs="Times New Roman"/>
          <w:sz w:val="28"/>
          <w:szCs w:val="28"/>
        </w:rPr>
        <w:t>т. д.</w:t>
      </w:r>
    </w:p>
    <w:p w:rsidR="00B37370" w:rsidRDefault="00B37370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также указываются </w:t>
      </w:r>
      <w:r w:rsidR="00501175">
        <w:rPr>
          <w:rFonts w:ascii="Times New Roman" w:eastAsia="Times New Roman" w:hAnsi="Times New Roman" w:cs="Times New Roman"/>
          <w:sz w:val="28"/>
          <w:szCs w:val="28"/>
        </w:rPr>
        <w:t>основания отказа,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не статьей 7 Федерального закона № 119-ФЗ, а </w:t>
      </w:r>
      <w:r w:rsidR="004518F2">
        <w:rPr>
          <w:rFonts w:ascii="Times New Roman" w:eastAsia="Times New Roman" w:hAnsi="Times New Roman" w:cs="Times New Roman"/>
          <w:sz w:val="28"/>
          <w:szCs w:val="28"/>
        </w:rPr>
        <w:t>основания,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локальными актами конкретного УО. </w:t>
      </w:r>
    </w:p>
    <w:p w:rsidR="00F023A8" w:rsidRDefault="00F023A8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0C3" w:rsidRDefault="006F518D" w:rsidP="00B373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у УО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недавно 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>появилась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 при направлении документов в ОРП, в части необходимости приложения заявления</w:t>
      </w:r>
      <w:r w:rsidR="00B37370" w:rsidRPr="00B37370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государственном кадастровом учете недвижимого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370" w:rsidRPr="00B37370">
        <w:rPr>
          <w:rFonts w:ascii="Times New Roman" w:eastAsia="Times New Roman" w:hAnsi="Times New Roman" w:cs="Times New Roman"/>
          <w:sz w:val="28"/>
          <w:szCs w:val="28"/>
        </w:rPr>
        <w:t>имущества и (или) государственной регистрации прав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370" w:rsidRPr="00B37370">
        <w:rPr>
          <w:rFonts w:ascii="Times New Roman" w:eastAsia="Times New Roman" w:hAnsi="Times New Roman" w:cs="Times New Roman"/>
          <w:sz w:val="28"/>
          <w:szCs w:val="28"/>
        </w:rPr>
        <w:t xml:space="preserve">на недвижимое имущество согласно установленной форме 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B37370" w:rsidRPr="00B37370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08.12.2015 № 920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). Вместо </w:t>
      </w:r>
      <w:r w:rsidR="004518F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УО прикладывают </w:t>
      </w:r>
      <w:r w:rsidR="00501175">
        <w:rPr>
          <w:rFonts w:ascii="Times New Roman" w:eastAsia="Times New Roman" w:hAnsi="Times New Roman" w:cs="Times New Roman"/>
          <w:sz w:val="28"/>
          <w:szCs w:val="28"/>
        </w:rPr>
        <w:t>просто отсканированное сопроводительное письмо,</w:t>
      </w:r>
      <w:r w:rsidR="00B37370">
        <w:rPr>
          <w:rFonts w:ascii="Times New Roman" w:eastAsia="Times New Roman" w:hAnsi="Times New Roman" w:cs="Times New Roman"/>
          <w:sz w:val="28"/>
          <w:szCs w:val="28"/>
        </w:rPr>
        <w:t xml:space="preserve"> подписанное руководителем УО</w:t>
      </w:r>
      <w:r w:rsidR="00A42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0C3" w:rsidRDefault="00DB00C3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709" w:rsidRDefault="00501175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встречается очень часто ошибка при внесении в ФИС заявлений на бумажном носителе. ФИС предусмотрен определенный порядок для внесения заявлений, поступивших на бумажном носителе и порядок внесения архивных договоров.</w:t>
      </w:r>
    </w:p>
    <w:p w:rsidR="00501175" w:rsidRDefault="00501175" w:rsidP="00F802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случае внесение осуществляется без простановки галки Архивный договор</w:t>
      </w:r>
      <w:r w:rsidR="00F80262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F80262" w:rsidRPr="00F80262">
        <w:rPr>
          <w:rFonts w:ascii="Times New Roman" w:eastAsia="Times New Roman" w:hAnsi="Times New Roman" w:cs="Times New Roman"/>
          <w:sz w:val="28"/>
          <w:szCs w:val="28"/>
        </w:rPr>
        <w:t>оговор безвозмездного пользования заключен (зарегистрирован в Росреестре) и сведения о нем отсутствуют в Системе</w:t>
      </w:r>
      <w:r w:rsidR="00F8026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что позволяет в дальнейшем отрабатывать заявление в общем режиме. Во втором случае необходимо поставить галочку в графе Архивный договор, что позволяет УО проставить все регистрационные реквизиты.</w:t>
      </w:r>
    </w:p>
    <w:p w:rsidR="00501175" w:rsidRDefault="00501175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009" w:rsidRPr="00FF239F" w:rsidRDefault="00CA5009" w:rsidP="004A5CB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CB8" w:rsidRDefault="004A5CB8" w:rsidP="00B7543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76BA" w:rsidRDefault="006876BA" w:rsidP="00B7543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567972" w:rsidRDefault="00567972" w:rsidP="00B7543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5C29" w:rsidRDefault="00C85C29" w:rsidP="005679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972" w:rsidRDefault="00567972" w:rsidP="00567972">
      <w:pPr>
        <w:spacing w:after="0" w:line="240" w:lineRule="exact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567972" w:rsidSect="003609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D5" w:rsidRDefault="009511D5" w:rsidP="003609AD">
      <w:pPr>
        <w:spacing w:after="0" w:line="240" w:lineRule="auto"/>
      </w:pPr>
      <w:r>
        <w:separator/>
      </w:r>
    </w:p>
  </w:endnote>
  <w:endnote w:type="continuationSeparator" w:id="0">
    <w:p w:rsidR="009511D5" w:rsidRDefault="009511D5" w:rsidP="003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D5" w:rsidRDefault="009511D5" w:rsidP="003609AD">
      <w:pPr>
        <w:spacing w:after="0" w:line="240" w:lineRule="auto"/>
      </w:pPr>
      <w:r>
        <w:separator/>
      </w:r>
    </w:p>
  </w:footnote>
  <w:footnote w:type="continuationSeparator" w:id="0">
    <w:p w:rsidR="009511D5" w:rsidRDefault="009511D5" w:rsidP="003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3863"/>
      <w:docPartObj>
        <w:docPartGallery w:val="Page Numbers (Top of Page)"/>
        <w:docPartUnique/>
      </w:docPartObj>
    </w:sdtPr>
    <w:sdtEndPr/>
    <w:sdtContent>
      <w:p w:rsidR="00532239" w:rsidRDefault="00EF633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6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2239" w:rsidRDefault="005322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3F4"/>
    <w:multiLevelType w:val="multilevel"/>
    <w:tmpl w:val="0A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C40E4"/>
    <w:multiLevelType w:val="hybridMultilevel"/>
    <w:tmpl w:val="1D8CD950"/>
    <w:lvl w:ilvl="0" w:tplc="9AD09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94302A"/>
    <w:multiLevelType w:val="multilevel"/>
    <w:tmpl w:val="E58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F50A1"/>
    <w:multiLevelType w:val="multilevel"/>
    <w:tmpl w:val="0F52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70610"/>
    <w:multiLevelType w:val="hybridMultilevel"/>
    <w:tmpl w:val="75047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B0852"/>
    <w:multiLevelType w:val="hybridMultilevel"/>
    <w:tmpl w:val="2E10905C"/>
    <w:lvl w:ilvl="0" w:tplc="AF328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E5"/>
    <w:rsid w:val="00003C9C"/>
    <w:rsid w:val="00006BBE"/>
    <w:rsid w:val="0001508C"/>
    <w:rsid w:val="00015D8B"/>
    <w:rsid w:val="000251DC"/>
    <w:rsid w:val="0004209C"/>
    <w:rsid w:val="000564E7"/>
    <w:rsid w:val="000573B6"/>
    <w:rsid w:val="00062248"/>
    <w:rsid w:val="00062C83"/>
    <w:rsid w:val="00077299"/>
    <w:rsid w:val="00084BF0"/>
    <w:rsid w:val="000936B9"/>
    <w:rsid w:val="000A101F"/>
    <w:rsid w:val="000A7A31"/>
    <w:rsid w:val="000B1050"/>
    <w:rsid w:val="000B2887"/>
    <w:rsid w:val="000C4950"/>
    <w:rsid w:val="000C4CC8"/>
    <w:rsid w:val="000C54EA"/>
    <w:rsid w:val="000C5DA3"/>
    <w:rsid w:val="000D1409"/>
    <w:rsid w:val="000D5441"/>
    <w:rsid w:val="00101F6C"/>
    <w:rsid w:val="001024DA"/>
    <w:rsid w:val="00104B69"/>
    <w:rsid w:val="001065ED"/>
    <w:rsid w:val="00117E18"/>
    <w:rsid w:val="00132DED"/>
    <w:rsid w:val="001442C0"/>
    <w:rsid w:val="00145403"/>
    <w:rsid w:val="00151193"/>
    <w:rsid w:val="00155255"/>
    <w:rsid w:val="00157F44"/>
    <w:rsid w:val="00160416"/>
    <w:rsid w:val="00160E1B"/>
    <w:rsid w:val="00162A86"/>
    <w:rsid w:val="00174CF1"/>
    <w:rsid w:val="00185EB0"/>
    <w:rsid w:val="001949CA"/>
    <w:rsid w:val="00194D3B"/>
    <w:rsid w:val="00194DF4"/>
    <w:rsid w:val="001A47D1"/>
    <w:rsid w:val="001B4B19"/>
    <w:rsid w:val="001D0B3B"/>
    <w:rsid w:val="001D2BAB"/>
    <w:rsid w:val="001D36C5"/>
    <w:rsid w:val="001E47EB"/>
    <w:rsid w:val="00225521"/>
    <w:rsid w:val="00245666"/>
    <w:rsid w:val="00262B76"/>
    <w:rsid w:val="002723A5"/>
    <w:rsid w:val="00285DB6"/>
    <w:rsid w:val="0029464A"/>
    <w:rsid w:val="002A59E3"/>
    <w:rsid w:val="002C2955"/>
    <w:rsid w:val="002C3A25"/>
    <w:rsid w:val="002C7BFA"/>
    <w:rsid w:val="002D0D00"/>
    <w:rsid w:val="002D1C12"/>
    <w:rsid w:val="00321EBB"/>
    <w:rsid w:val="00324E2A"/>
    <w:rsid w:val="0032541B"/>
    <w:rsid w:val="003358CF"/>
    <w:rsid w:val="00341ABB"/>
    <w:rsid w:val="00342CBB"/>
    <w:rsid w:val="00354AA6"/>
    <w:rsid w:val="003609AD"/>
    <w:rsid w:val="003710C1"/>
    <w:rsid w:val="003814E5"/>
    <w:rsid w:val="003821EC"/>
    <w:rsid w:val="003823FE"/>
    <w:rsid w:val="00390F6A"/>
    <w:rsid w:val="0039629D"/>
    <w:rsid w:val="003A52D5"/>
    <w:rsid w:val="003C3A92"/>
    <w:rsid w:val="003C6F0B"/>
    <w:rsid w:val="003D7074"/>
    <w:rsid w:val="003E5049"/>
    <w:rsid w:val="003F71ED"/>
    <w:rsid w:val="00414DEE"/>
    <w:rsid w:val="00423DB3"/>
    <w:rsid w:val="00424395"/>
    <w:rsid w:val="0043535E"/>
    <w:rsid w:val="00437FF5"/>
    <w:rsid w:val="0044050A"/>
    <w:rsid w:val="00442F32"/>
    <w:rsid w:val="00451323"/>
    <w:rsid w:val="004518F2"/>
    <w:rsid w:val="004615F1"/>
    <w:rsid w:val="00466709"/>
    <w:rsid w:val="00476C5F"/>
    <w:rsid w:val="00482ADC"/>
    <w:rsid w:val="004A1264"/>
    <w:rsid w:val="004A4AEB"/>
    <w:rsid w:val="004A5CB8"/>
    <w:rsid w:val="004B1114"/>
    <w:rsid w:val="004B3B29"/>
    <w:rsid w:val="004B54F0"/>
    <w:rsid w:val="004C2E7E"/>
    <w:rsid w:val="004D0C78"/>
    <w:rsid w:val="004E7D9D"/>
    <w:rsid w:val="004F07ED"/>
    <w:rsid w:val="005003C1"/>
    <w:rsid w:val="005003C5"/>
    <w:rsid w:val="00501175"/>
    <w:rsid w:val="00504A69"/>
    <w:rsid w:val="00511785"/>
    <w:rsid w:val="005317AF"/>
    <w:rsid w:val="00532239"/>
    <w:rsid w:val="00532D7B"/>
    <w:rsid w:val="0054305E"/>
    <w:rsid w:val="00545229"/>
    <w:rsid w:val="005535CE"/>
    <w:rsid w:val="00563D6C"/>
    <w:rsid w:val="00567972"/>
    <w:rsid w:val="00595B36"/>
    <w:rsid w:val="005C5D62"/>
    <w:rsid w:val="005C7849"/>
    <w:rsid w:val="005E6973"/>
    <w:rsid w:val="006169AC"/>
    <w:rsid w:val="00617F8B"/>
    <w:rsid w:val="00622566"/>
    <w:rsid w:val="00633918"/>
    <w:rsid w:val="00633980"/>
    <w:rsid w:val="00635B66"/>
    <w:rsid w:val="00650ED9"/>
    <w:rsid w:val="00661078"/>
    <w:rsid w:val="00663659"/>
    <w:rsid w:val="00663814"/>
    <w:rsid w:val="00670002"/>
    <w:rsid w:val="00672C2D"/>
    <w:rsid w:val="006876BA"/>
    <w:rsid w:val="006924EC"/>
    <w:rsid w:val="00697838"/>
    <w:rsid w:val="006A52EE"/>
    <w:rsid w:val="006B083A"/>
    <w:rsid w:val="006B3F75"/>
    <w:rsid w:val="006C7E71"/>
    <w:rsid w:val="006D2931"/>
    <w:rsid w:val="006F1FFC"/>
    <w:rsid w:val="006F518D"/>
    <w:rsid w:val="0070297D"/>
    <w:rsid w:val="0070398E"/>
    <w:rsid w:val="00706886"/>
    <w:rsid w:val="007121A3"/>
    <w:rsid w:val="00727FC1"/>
    <w:rsid w:val="007452A5"/>
    <w:rsid w:val="0076247F"/>
    <w:rsid w:val="00775228"/>
    <w:rsid w:val="007768AA"/>
    <w:rsid w:val="0077763A"/>
    <w:rsid w:val="007C266E"/>
    <w:rsid w:val="007D0CB7"/>
    <w:rsid w:val="007F6E94"/>
    <w:rsid w:val="00806B6A"/>
    <w:rsid w:val="00807034"/>
    <w:rsid w:val="00815EE1"/>
    <w:rsid w:val="00823166"/>
    <w:rsid w:val="008237B7"/>
    <w:rsid w:val="00833D7B"/>
    <w:rsid w:val="00834266"/>
    <w:rsid w:val="00875E2E"/>
    <w:rsid w:val="008C5A21"/>
    <w:rsid w:val="008C5F11"/>
    <w:rsid w:val="008D4301"/>
    <w:rsid w:val="008D69B0"/>
    <w:rsid w:val="008E2662"/>
    <w:rsid w:val="008E2C8C"/>
    <w:rsid w:val="00903DB0"/>
    <w:rsid w:val="009227DA"/>
    <w:rsid w:val="009354D4"/>
    <w:rsid w:val="009511D5"/>
    <w:rsid w:val="00974C6C"/>
    <w:rsid w:val="009A55D9"/>
    <w:rsid w:val="009B20A1"/>
    <w:rsid w:val="009C0026"/>
    <w:rsid w:val="009C026F"/>
    <w:rsid w:val="009C321F"/>
    <w:rsid w:val="009C5179"/>
    <w:rsid w:val="009D0C07"/>
    <w:rsid w:val="009D799E"/>
    <w:rsid w:val="009E60CD"/>
    <w:rsid w:val="009F41BB"/>
    <w:rsid w:val="00A07959"/>
    <w:rsid w:val="00A12345"/>
    <w:rsid w:val="00A15F9C"/>
    <w:rsid w:val="00A3595F"/>
    <w:rsid w:val="00A42F70"/>
    <w:rsid w:val="00A6341E"/>
    <w:rsid w:val="00A63B63"/>
    <w:rsid w:val="00A74053"/>
    <w:rsid w:val="00A7560D"/>
    <w:rsid w:val="00A878AD"/>
    <w:rsid w:val="00A9669B"/>
    <w:rsid w:val="00AB73F6"/>
    <w:rsid w:val="00AD5086"/>
    <w:rsid w:val="00AF5BC7"/>
    <w:rsid w:val="00B0346D"/>
    <w:rsid w:val="00B169B8"/>
    <w:rsid w:val="00B20EF9"/>
    <w:rsid w:val="00B37370"/>
    <w:rsid w:val="00B50D46"/>
    <w:rsid w:val="00B515FB"/>
    <w:rsid w:val="00B579EC"/>
    <w:rsid w:val="00B607A8"/>
    <w:rsid w:val="00B65892"/>
    <w:rsid w:val="00B72672"/>
    <w:rsid w:val="00B75435"/>
    <w:rsid w:val="00B95C25"/>
    <w:rsid w:val="00BA0E8D"/>
    <w:rsid w:val="00BE5DC7"/>
    <w:rsid w:val="00BF38D3"/>
    <w:rsid w:val="00C04EE7"/>
    <w:rsid w:val="00C051E1"/>
    <w:rsid w:val="00C27082"/>
    <w:rsid w:val="00C270AE"/>
    <w:rsid w:val="00C43856"/>
    <w:rsid w:val="00C53B1B"/>
    <w:rsid w:val="00C761D3"/>
    <w:rsid w:val="00C769C2"/>
    <w:rsid w:val="00C85C29"/>
    <w:rsid w:val="00CA5009"/>
    <w:rsid w:val="00CD37A4"/>
    <w:rsid w:val="00CE3A94"/>
    <w:rsid w:val="00CE6CC1"/>
    <w:rsid w:val="00CE77E7"/>
    <w:rsid w:val="00CF4B41"/>
    <w:rsid w:val="00CF535A"/>
    <w:rsid w:val="00D00E92"/>
    <w:rsid w:val="00D052DF"/>
    <w:rsid w:val="00D0597F"/>
    <w:rsid w:val="00D11878"/>
    <w:rsid w:val="00D11CD4"/>
    <w:rsid w:val="00D2113A"/>
    <w:rsid w:val="00D4339F"/>
    <w:rsid w:val="00D56A13"/>
    <w:rsid w:val="00D623A6"/>
    <w:rsid w:val="00D62E3E"/>
    <w:rsid w:val="00D662FE"/>
    <w:rsid w:val="00D7235E"/>
    <w:rsid w:val="00D759A7"/>
    <w:rsid w:val="00D77A56"/>
    <w:rsid w:val="00D8528E"/>
    <w:rsid w:val="00D85A44"/>
    <w:rsid w:val="00D918F1"/>
    <w:rsid w:val="00D93FC5"/>
    <w:rsid w:val="00D94051"/>
    <w:rsid w:val="00DA11AE"/>
    <w:rsid w:val="00DA3D01"/>
    <w:rsid w:val="00DB00C3"/>
    <w:rsid w:val="00DB6454"/>
    <w:rsid w:val="00DD35A4"/>
    <w:rsid w:val="00DD4946"/>
    <w:rsid w:val="00DE1BAA"/>
    <w:rsid w:val="00DE2805"/>
    <w:rsid w:val="00DE76CD"/>
    <w:rsid w:val="00DF4C08"/>
    <w:rsid w:val="00DF4F2F"/>
    <w:rsid w:val="00DF50F0"/>
    <w:rsid w:val="00E00BA8"/>
    <w:rsid w:val="00E04135"/>
    <w:rsid w:val="00E06BF5"/>
    <w:rsid w:val="00E2618F"/>
    <w:rsid w:val="00E269C5"/>
    <w:rsid w:val="00E333EE"/>
    <w:rsid w:val="00E33BEA"/>
    <w:rsid w:val="00E369AD"/>
    <w:rsid w:val="00E44FBC"/>
    <w:rsid w:val="00E458D8"/>
    <w:rsid w:val="00E47071"/>
    <w:rsid w:val="00E53411"/>
    <w:rsid w:val="00E614E4"/>
    <w:rsid w:val="00E6348D"/>
    <w:rsid w:val="00E726F0"/>
    <w:rsid w:val="00E8159A"/>
    <w:rsid w:val="00EA4AB9"/>
    <w:rsid w:val="00EC50E6"/>
    <w:rsid w:val="00EE7087"/>
    <w:rsid w:val="00EF6335"/>
    <w:rsid w:val="00F00369"/>
    <w:rsid w:val="00F023A8"/>
    <w:rsid w:val="00F02D45"/>
    <w:rsid w:val="00F35794"/>
    <w:rsid w:val="00F423C0"/>
    <w:rsid w:val="00F506B9"/>
    <w:rsid w:val="00F64555"/>
    <w:rsid w:val="00F80262"/>
    <w:rsid w:val="00F81E3E"/>
    <w:rsid w:val="00F85464"/>
    <w:rsid w:val="00F966A9"/>
    <w:rsid w:val="00FA51C8"/>
    <w:rsid w:val="00FA5900"/>
    <w:rsid w:val="00FB05D7"/>
    <w:rsid w:val="00FD3059"/>
    <w:rsid w:val="00FD45E1"/>
    <w:rsid w:val="00FD6976"/>
    <w:rsid w:val="00FD7D46"/>
    <w:rsid w:val="00FE3B46"/>
    <w:rsid w:val="00FF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0D88"/>
  <w15:docId w15:val="{C17E0941-79BD-469C-8D2A-698824F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114"/>
  </w:style>
  <w:style w:type="paragraph" w:styleId="1">
    <w:name w:val="heading 1"/>
    <w:basedOn w:val="a"/>
    <w:link w:val="10"/>
    <w:uiPriority w:val="9"/>
    <w:qFormat/>
    <w:rsid w:val="0039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4E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4E5"/>
    <w:rPr>
      <w:b/>
      <w:bCs/>
    </w:rPr>
  </w:style>
  <w:style w:type="paragraph" w:styleId="a5">
    <w:name w:val="Body Text Indent"/>
    <w:basedOn w:val="a"/>
    <w:link w:val="a6"/>
    <w:rsid w:val="007068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68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6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7D0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6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09AD"/>
  </w:style>
  <w:style w:type="paragraph" w:styleId="aa">
    <w:name w:val="footer"/>
    <w:basedOn w:val="a"/>
    <w:link w:val="ab"/>
    <w:uiPriority w:val="99"/>
    <w:semiHidden/>
    <w:unhideWhenUsed/>
    <w:rsid w:val="0036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9AD"/>
  </w:style>
  <w:style w:type="paragraph" w:styleId="ac">
    <w:name w:val="Balloon Text"/>
    <w:basedOn w:val="a"/>
    <w:link w:val="ad"/>
    <w:uiPriority w:val="99"/>
    <w:semiHidden/>
    <w:unhideWhenUsed/>
    <w:rsid w:val="009D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C0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E3A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rapper">
    <w:name w:val="wrapper"/>
    <w:basedOn w:val="a0"/>
    <w:rsid w:val="0039629D"/>
  </w:style>
  <w:style w:type="character" w:customStyle="1" w:styleId="blk">
    <w:name w:val="blk"/>
    <w:basedOn w:val="a0"/>
    <w:rsid w:val="00F023A8"/>
  </w:style>
  <w:style w:type="character" w:styleId="af">
    <w:name w:val="Hyperlink"/>
    <w:basedOn w:val="a0"/>
    <w:uiPriority w:val="99"/>
    <w:semiHidden/>
    <w:unhideWhenUsed/>
    <w:rsid w:val="00F0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80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243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043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029/fd747c9d7282bfd351658d59057036728767709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Юрьевна</dc:creator>
  <cp:lastModifiedBy>Туева Алена Владимировна</cp:lastModifiedBy>
  <cp:revision>11</cp:revision>
  <cp:lastPrinted>2016-12-23T01:38:00Z</cp:lastPrinted>
  <dcterms:created xsi:type="dcterms:W3CDTF">2019-02-14T04:15:00Z</dcterms:created>
  <dcterms:modified xsi:type="dcterms:W3CDTF">2019-02-14T05:26:00Z</dcterms:modified>
</cp:coreProperties>
</file>